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0B375">
      <w:pPr>
        <w:pStyle w:val="10"/>
        <w:ind w:firstLine="640" w:firstLineChars="200"/>
        <w:rPr>
          <w:rFonts w:ascii="Times New Roman" w:hAnsi="Times New Roman" w:eastAsia="仿宋_GB2312" w:cs="Times New Roman"/>
          <w:sz w:val="32"/>
          <w:szCs w:val="32"/>
        </w:rPr>
      </w:pPr>
      <w:bookmarkStart w:id="0" w:name="_GoBack"/>
      <w:bookmarkEnd w:id="0"/>
    </w:p>
    <w:p w14:paraId="6C69F35B">
      <w:pPr>
        <w:pStyle w:val="10"/>
        <w:jc w:val="center"/>
        <w:rPr>
          <w:rFonts w:ascii="Times New Roman" w:hAnsi="Times New Roman" w:cs="Times New Roman"/>
          <w:sz w:val="32"/>
          <w:szCs w:val="32"/>
        </w:rPr>
      </w:pPr>
      <w:r>
        <w:rPr>
          <w:rFonts w:ascii="Times New Roman" w:hAnsi="Times New Roman" w:cs="Times New Roman"/>
          <w:sz w:val="44"/>
          <w:szCs w:val="44"/>
        </w:rPr>
        <w:t>集成电路布图设计保护条例</w:t>
      </w:r>
    </w:p>
    <w:p w14:paraId="0261503B">
      <w:pPr>
        <w:pStyle w:val="10"/>
        <w:ind w:firstLine="640" w:firstLineChars="200"/>
        <w:jc w:val="center"/>
        <w:rPr>
          <w:rFonts w:ascii="Times New Roman" w:hAnsi="Times New Roman" w:cs="Times New Roman"/>
          <w:sz w:val="32"/>
          <w:szCs w:val="32"/>
        </w:rPr>
      </w:pPr>
    </w:p>
    <w:p w14:paraId="5CD8471C">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74600D6">
      <w:pPr>
        <w:pStyle w:val="2"/>
        <w:bidi w:val="0"/>
      </w:pPr>
      <w:r>
        <w:t>第一章　总则</w:t>
      </w:r>
    </w:p>
    <w:p w14:paraId="74D388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为了保护集成电路布图设计专有权，鼓励集成电路技术的创新，促进科学技术的发展，制定本条例。</w:t>
      </w:r>
    </w:p>
    <w:p w14:paraId="377C2D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本条例下列用语的含义：</w:t>
      </w:r>
    </w:p>
    <w:p w14:paraId="73A96F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(一)集成电路，是指半导体集成电路，即以半导体材料为基片，将至少有一个是有源元件的两个以上元件和部分或者全部互连线路集成在基片之中或者基片之上，以执行某种电子功能的中间产品或者最终产品；</w:t>
      </w:r>
    </w:p>
    <w:p w14:paraId="0FF2AD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(二)集成电路布图设计(以下简称布图设计)，是指集成电路中至少有一个是有源元件的两个以上元件和部分或者全部互连线路的三维配置，或者为制造集成电路而准备的上述三维配置；</w:t>
      </w:r>
    </w:p>
    <w:p w14:paraId="49E9BF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(三)布图设计权利人，是指依照本条例的规定，对布图设计享有专有权的自然人、法人或者其他组织；</w:t>
      </w:r>
    </w:p>
    <w:p w14:paraId="083378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(四)复制，是指重复制作布图设计或者含有该布图设计的集成电路的行为；</w:t>
      </w:r>
    </w:p>
    <w:p w14:paraId="2AE786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(五)商业利用，是指为商业目的进口、销售或者以其他方式提供受保护的布图设计、含有该布图设计的集成电路或者含有该集成电路的物品的行为。</w:t>
      </w:r>
    </w:p>
    <w:p w14:paraId="0778F6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中国自然人、法人或者其他组织创作的布图设计，依照本条例享有布图设计专有权。</w:t>
      </w:r>
    </w:p>
    <w:p w14:paraId="6D5E63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外国人创作的布图设计首先在中国境内投入商业利用的，依照本条例享有布图设计专有权。</w:t>
      </w:r>
    </w:p>
    <w:p w14:paraId="6A5B6E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外国人创作的布图设计，其创作者所属国同中国签订有关布图设计保护协议或者与中国共同参加有关布图设计保护国际条约的，依照本条例享有布图设计专有权。</w:t>
      </w:r>
    </w:p>
    <w:p w14:paraId="7766AC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受保护的布图设计应当具有独创性，即该布图设计是创作者自己的智力劳动成果，并且在其创作时该布图设计在布图设计创作者和集成电路制造者中不是公认的常规设计。</w:t>
      </w:r>
    </w:p>
    <w:p w14:paraId="7DE87E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受保护的由常规设计组成的布图设计，其组合作为整体应当符合前款规定的条件。</w:t>
      </w:r>
    </w:p>
    <w:p w14:paraId="4C663A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本条例对布图设计的保护，不延及思想、处理过程、操作方法或者数学概念等。</w:t>
      </w:r>
    </w:p>
    <w:p w14:paraId="18365F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国务院知识产权行政部门依照本条例的规定，负责布图设计专有权的有关管理工作。</w:t>
      </w:r>
    </w:p>
    <w:p w14:paraId="00227FD9">
      <w:pPr>
        <w:pStyle w:val="2"/>
        <w:bidi w:val="0"/>
      </w:pPr>
      <w:r>
        <w:t>第二章　布图设计专有权</w:t>
      </w:r>
    </w:p>
    <w:p w14:paraId="1139E1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布图设计权利人享有下列专有权：</w:t>
      </w:r>
    </w:p>
    <w:p w14:paraId="651167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(一)对受保护的布图设计的全部或者其中任何具有独创性的部分进行复制；</w:t>
      </w:r>
    </w:p>
    <w:p w14:paraId="32690A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(二)将受保护的布图设计、含有该布图设计的集成电路或者含有该集成电路的物品投入商业利用。</w:t>
      </w:r>
    </w:p>
    <w:p w14:paraId="557A03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布图设计专有权经国务院知识产权行政部门登记产生。</w:t>
      </w:r>
    </w:p>
    <w:p w14:paraId="561D3E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未经登记的布图设计不受本条例保护。</w:t>
      </w:r>
    </w:p>
    <w:p w14:paraId="4D0FD2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布图设计专有权属于布图设计创作者，本条例另有规定的除外。</w:t>
      </w:r>
    </w:p>
    <w:p w14:paraId="59BD7F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由法人或者其他组织主持，依据法人或者其他组织的意志而创作，并由法人或者其他组织承担责任的布图设计，该法人或者其他组织是创作者。</w:t>
      </w:r>
    </w:p>
    <w:p w14:paraId="76976E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由自然人创作的布图设计，该自然人是创作者。</w:t>
      </w:r>
    </w:p>
    <w:p w14:paraId="228664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两个以上自然人、法人或者其他组织合作创作的布图设计，其专有权的归属由合作者约定；未作约定或者约定不明的，其专有权由合作者共同享有。</w:t>
      </w:r>
    </w:p>
    <w:p w14:paraId="4BF1DE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受委托创作的布图设计，其专有权的归属由委托人和受托人双方约定；未作约定或者约定不明的，其专有权由受托人享有。</w:t>
      </w:r>
    </w:p>
    <w:p w14:paraId="71E5DC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布图设计专有权的保护期为10年，自布图设计登记申请之日或者在世界任何地方首次投入商业利用之日起计算，以较前日期为准。但是，无论是否登记或者投入商业利用，布图设计自创作完成之日起15年后，不再受本条例保护。</w:t>
      </w:r>
    </w:p>
    <w:p w14:paraId="5A19E2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布图设计专有权属于自然人的，该自然人死亡后，其专有权在本条例规定的保护期内依照继承法的规定转移。</w:t>
      </w:r>
    </w:p>
    <w:p w14:paraId="35CA9A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布图设计专有权属于法人或者其他组织的，法人或者其他组织变更、终止后，其专有权在本条例规定的保护期内由承继其权利、义务的法人或者其他组织享有；没有承继其权利、义务的法人或者其他组织的，该布图设计进入公有领域。</w:t>
      </w:r>
    </w:p>
    <w:p w14:paraId="38AB5380">
      <w:pPr>
        <w:pStyle w:val="2"/>
        <w:bidi w:val="0"/>
      </w:pPr>
      <w:r>
        <w:t>第三章　布图设计的登记</w:t>
      </w:r>
    </w:p>
    <w:p w14:paraId="1C9FCE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国务院知识产权行政部门负责布图设计登记工作，受理布图设计登记申请。</w:t>
      </w:r>
    </w:p>
    <w:p w14:paraId="2A4C43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申请登记的布图设计涉及国家安全或者重大利益，需要保密的，按照国家有关规定办理。</w:t>
      </w:r>
    </w:p>
    <w:p w14:paraId="3BEE88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申请布图设计登记，应当提交：</w:t>
      </w:r>
    </w:p>
    <w:p w14:paraId="364970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(一)布图设计登记申请表；</w:t>
      </w:r>
    </w:p>
    <w:p w14:paraId="6DF41E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(二)布图设计的复制件或者图样；</w:t>
      </w:r>
    </w:p>
    <w:p w14:paraId="5D5238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(三)布图设计已投入商业利用的，提交含有该布图设计的集成电路样品；</w:t>
      </w:r>
    </w:p>
    <w:p w14:paraId="19416F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(四)国务院知识产权行政部门规定的其他材料。</w:t>
      </w:r>
    </w:p>
    <w:p w14:paraId="5FE675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布图设计自其在世界任何地方首次商业利用之日起2年内，未向国务院知识产权行政部门提出登记申请的，国务院知识产权行政部门不再予以登记。</w:t>
      </w:r>
    </w:p>
    <w:p w14:paraId="0CF60E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布图设计登记申请经初步审查，未发现驳回理由的，由国务院知识产权行政部门予以登记，发给登记证明文件，并予以公告。</w:t>
      </w:r>
    </w:p>
    <w:p w14:paraId="0F3ED7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布图设计登记申请人对国务院知识产权行政部门驳回其登记申请的决定不服的，可以自收到通知之日起3个月内，向国务院知识产权行政部门请求复审。国务院知识产权行政部门复审后，作出决定，并通知布图设计登记申请人。布图设计登记申请人对国务院知识产权行政部门的复审决定仍不服的，可以自收到通知之日起3个月内向人民法院起诉。</w:t>
      </w:r>
    </w:p>
    <w:p w14:paraId="2E7047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布图设计获准登记后，国务院知识产权行政部门发现该登记不符合本条例规定的，应当予以撤销，通知布图设计权利人，并予以公告。布图设计权利人对国务院知识产权行政部门撤销布图设计登记的决定不服的，可以自收到通知之日起3个月内向人民法院起诉。</w:t>
      </w:r>
    </w:p>
    <w:p w14:paraId="6C845D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在布图设计登记公告前，国务院知识产权行政部门的工作人员对其内容负有保密义务。</w:t>
      </w:r>
    </w:p>
    <w:p w14:paraId="32B231C4">
      <w:pPr>
        <w:pStyle w:val="2"/>
        <w:bidi w:val="0"/>
      </w:pPr>
      <w:r>
        <w:t>第四章　布图设计专有权的行使</w:t>
      </w:r>
    </w:p>
    <w:p w14:paraId="715A8A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布图设计权利人可以将其专有权转让或者许可他人使用其布图设计。</w:t>
      </w:r>
    </w:p>
    <w:p w14:paraId="6E1889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转让布图设计专有权的，当事人应当订立书面合同，并向国务院知识产权行政部门登记，由国务院知识产权行政部门予以公告。布图设计专有权的转让自登记之日起生效。</w:t>
      </w:r>
    </w:p>
    <w:p w14:paraId="3A76D6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许可他人使用其布图设计的，当事人应当订立书面合同。</w:t>
      </w:r>
    </w:p>
    <w:p w14:paraId="069B85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下列行为可以不经布图设计权利人许可，不向其支付报酬：</w:t>
      </w:r>
    </w:p>
    <w:p w14:paraId="00542D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(一)为个人目的或者单纯为评价、分析、研究、教学等目的而复制受保护的布图设计的；</w:t>
      </w:r>
    </w:p>
    <w:p w14:paraId="22F101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(二)在依据前项评价、分析受保护的布图设计的基础上，创作出具有独创性的布图设计的；</w:t>
      </w:r>
    </w:p>
    <w:p w14:paraId="4F37B7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(三)对自己独立创作的与他人相同的布图设计进行复制或者将其投入商业利用的。</w:t>
      </w:r>
    </w:p>
    <w:p w14:paraId="51B354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受保护的布图设计、含有该布图设计的集成电路或者含有该集成电路的物品，由布图设计权利人或者经其许可投放市场后，他人再次商业利用的，可以不经布图设计权利人许可，并不向其支付报酬。</w:t>
      </w:r>
    </w:p>
    <w:p w14:paraId="07C165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在国家出现紧急状态或者非常情况时，或者为了公共利益的目的，或者经人民法院、不正当竞争行为监督检查部门依法认定布图设计权利人有不正当竞争行为而需要给予补救时，国务院知识产权行政部门可以给予使用其布图设计的非自愿许可。</w:t>
      </w:r>
    </w:p>
    <w:p w14:paraId="1854D2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国务院知识产权行政部门作出给予使用布图设计非自愿许可的决定，应当及时通知布图设计权利人。</w:t>
      </w:r>
    </w:p>
    <w:p w14:paraId="53B051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给予使用布图设计非自愿许可的决定，应当根据非自愿许可的理由，规定使用的范围和时间，其范围应当限于为公共目的非商业性使用，或者限于经人民法院、不正当竞争行为监督检查部门依法认定布图设计权利人有不正当竞争行为而需要给予的补救。</w:t>
      </w:r>
    </w:p>
    <w:p w14:paraId="416CD9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非自愿许可的理由消除并不再发生时，国务院知识产权行政部门应当根据布图设计权利人的请求，经审查后作出终止使用布图设计非自愿许可的决定。</w:t>
      </w:r>
    </w:p>
    <w:p w14:paraId="1277C9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取得使用布图设计非自愿许可的自然人、法人或者其他组织不享有独占的使用权，并且无权允许他人使用。</w:t>
      </w:r>
    </w:p>
    <w:p w14:paraId="29C1C8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取得使用布图设计非自愿许可的自然人、法人或者其他组织应当向布图设计权利人支付合理的报酬，其数额由双方协商；双方不能达成协议的，由国务院知识产权行政部门裁决。</w:t>
      </w:r>
    </w:p>
    <w:p w14:paraId="6AA77F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布图设计权利人对国务院知识产权行政部门关于使用布图设计非自愿许可的决定不服的，布图设计权利人和取得非自愿许可的自然人、法人或者其他组织对国务院知识产权行政部门关于使用布图设计非自愿许可的报酬的裁决不服的，可以自收到通知之日起3个月内向人民法院起诉。</w:t>
      </w:r>
    </w:p>
    <w:p w14:paraId="292934C6">
      <w:pPr>
        <w:pStyle w:val="2"/>
        <w:bidi w:val="0"/>
      </w:pPr>
      <w:r>
        <w:t>第五章　法律责任</w:t>
      </w:r>
    </w:p>
    <w:p w14:paraId="6DFA11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除本条例另有规定的外，未经布图设计权利人许可，有下列行为之一的，行为人必须立即停止侵权行为，并承担赔偿责任：</w:t>
      </w:r>
    </w:p>
    <w:p w14:paraId="0FFB77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(一)复制受保护的布图设计的全部或者其中任何具有独创性的部分的；</w:t>
      </w:r>
    </w:p>
    <w:p w14:paraId="0CE8E4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(二)为商业目的进口、销售或者以其他方式提供受保护的布图设计、含有该布图设计的集成电路或者含有该集成电路的物品的。</w:t>
      </w:r>
    </w:p>
    <w:p w14:paraId="6E8CE6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侵犯布图设计专有权的赔偿数额，为侵权人所获得的利益或者被侵权人所受到的损失，包括被侵权人为制止侵权行为所支付的合理开支。</w:t>
      </w:r>
    </w:p>
    <w:p w14:paraId="7371B8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未经布图设计权利人许可，使用其布图设计，即侵犯其布图设计专有权，引起纠纷的，由当事人协商解决；不愿协商或者协商不成的，布图设计权利人或者利害关系人可以向人民法院起诉，也可以请求国务院知识产权行政部门处理。国务院知识产权行政部门处理时，认定侵权行为成立的，可以责令侵权人立即停止侵权行为，没收、销毁侵权产品或者物品。当事人不服的，可以自收到处理通知之日起15日内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诉讼法》向人民法院起诉；侵权人期满不起诉又不停止侵权行为的，国务院知识产权行政部门可以请求人民法院强制执行。应当事人的请求，国务院知识产权行政部门可以就侵犯布图设计专有权的赔偿数额进行调解；调解不成的，当事人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民事诉讼法》向人民法院起诉。</w:t>
      </w:r>
    </w:p>
    <w:p w14:paraId="11620A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布图设计权利人或者利害关系人有证据证明他人正在实施或者即将实施侵犯其专有权的行为，如不及时制止将会使其合法权益受到难以弥补的损害的，可以在起诉前依法向人民法院申请采取责令停止有关行为和财产保全的措施。</w:t>
      </w:r>
    </w:p>
    <w:p w14:paraId="0DF8D2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在获得含有受保护的布图设计的集成电路或者含有该集成电路的物品时，不知道也没有合理理由应当知道其中含有非法复制的布图设计，而将其投入商业利用的，不视为侵权。</w:t>
      </w:r>
    </w:p>
    <w:p w14:paraId="4007CF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前款行为人得到其中含有非法复制的布图设计的明确通知后，可以继续将现有的存货或者此前的订货投入商业利用，但应当向布图设计权利人支付合理的报酬。</w:t>
      </w:r>
    </w:p>
    <w:p w14:paraId="026AE9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国务院知识产权行政部门的工作人员在布图设计管理工作中玩忽职守、滥用职权、徇私舞弊，构成犯罪的，依法追究刑事责任；尚不构成犯罪的，依法给予行政处分。</w:t>
      </w:r>
    </w:p>
    <w:p w14:paraId="1B723A36">
      <w:pPr>
        <w:pStyle w:val="2"/>
        <w:bidi w:val="0"/>
      </w:pPr>
      <w:r>
        <w:t>第六章　附则</w:t>
      </w:r>
    </w:p>
    <w:p w14:paraId="61E637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申请布图设计登记和办理其他手续，应当按照规定缴纳费用。缴费标准由国务院物价主管部门、国务院知识产权行政部门制定，并由国务院知识产权行政部门公告。</w:t>
      </w:r>
    </w:p>
    <w:p w14:paraId="2B3601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00F8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68FAEC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68FAEC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3190D9E"/>
    <w:rsid w:val="155E2CB3"/>
    <w:rsid w:val="18413C16"/>
    <w:rsid w:val="2FF20DF5"/>
    <w:rsid w:val="2FFD72E7"/>
    <w:rsid w:val="354E143B"/>
    <w:rsid w:val="48DA16EC"/>
    <w:rsid w:val="4EDF3D2B"/>
    <w:rsid w:val="4F4F26F0"/>
    <w:rsid w:val="5080370D"/>
    <w:rsid w:val="5A92287B"/>
    <w:rsid w:val="61152047"/>
    <w:rsid w:val="620467BA"/>
    <w:rsid w:val="622D2BEC"/>
    <w:rsid w:val="65BF6566"/>
    <w:rsid w:val="6DB87D30"/>
    <w:rsid w:val="778F2A81"/>
    <w:rsid w:val="7814798C"/>
    <w:rsid w:val="7A6D55E9"/>
    <w:rsid w:val="7B2B5F0E"/>
    <w:rsid w:val="7C0E15E2"/>
    <w:rsid w:val="7F153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2025-06-29T10:57:00Z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0E6C65F3660E48E4BABE8340B141FEB9_12</vt:lpwstr>
  </property>
</Properties>
</file>