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674D9">
      <w:pPr>
        <w:pStyle w:val="3"/>
        <w:jc w:val="center"/>
        <w:rPr>
          <w:rFonts w:hint="eastAsia" w:ascii="Times New Roman" w:hAnsi="Times New Roman" w:cs="Times New Roman"/>
          <w:sz w:val="44"/>
          <w:szCs w:val="44"/>
        </w:rPr>
      </w:pPr>
      <w:bookmarkStart w:id="0" w:name="_GoBack"/>
      <w:bookmarkEnd w:id="0"/>
    </w:p>
    <w:p w14:paraId="27256DB5">
      <w:pPr>
        <w:pStyle w:val="3"/>
        <w:jc w:val="center"/>
        <w:rPr>
          <w:rFonts w:ascii="Times New Roman" w:hAnsi="Times New Roman" w:cs="Times New Roman"/>
          <w:sz w:val="44"/>
          <w:szCs w:val="44"/>
        </w:rPr>
      </w:pPr>
      <w:r>
        <w:rPr>
          <w:rFonts w:ascii="Times New Roman" w:hAnsi="Times New Roman" w:cs="Times New Roman"/>
          <w:sz w:val="44"/>
          <w:szCs w:val="44"/>
        </w:rPr>
        <w:t>黄河水量调度条例</w:t>
      </w:r>
    </w:p>
    <w:p w14:paraId="72638DDD">
      <w:pPr>
        <w:pStyle w:val="3"/>
        <w:ind w:firstLine="640" w:firstLineChars="200"/>
        <w:rPr>
          <w:rFonts w:hint="eastAsia" w:ascii="Times New Roman" w:hAnsi="Times New Roman" w:eastAsia="楷体_GB2312" w:cs="Times New Roman"/>
          <w:sz w:val="32"/>
          <w:szCs w:val="32"/>
        </w:rPr>
      </w:pPr>
    </w:p>
    <w:p w14:paraId="004BCDE4">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7227FF9">
      <w:pPr>
        <w:pStyle w:val="2"/>
        <w:jc w:val="center"/>
        <w:rPr>
          <w:rFonts w:ascii="方正黑体_GBK" w:eastAsia="方正黑体_GBK"/>
        </w:rPr>
      </w:pPr>
      <w:r>
        <w:rPr>
          <w:rFonts w:hint="eastAsia" w:ascii="方正黑体_GBK" w:hAnsi="Times New Roman" w:eastAsia="方正黑体_GBK" w:cs="Times New Roman"/>
        </w:rPr>
        <w:t>第一章　总则</w:t>
      </w:r>
    </w:p>
    <w:p w14:paraId="7E3B9D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为加强黄河水量的统一调度，实现黄河水资源的可持续利用，促进黄河流域及相关地区经济社会发展和生态环境的改善，根据《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水法》，制定本条例。</w:t>
      </w:r>
    </w:p>
    <w:p w14:paraId="3250E4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黄河流域的青海省、四川省、甘肃省、宁夏回族自治区、内蒙古自治区、陕西省、山西省、河南省、山东省，以及国务院批准取用黄河水的河北省、天津市(以下称十一省区市)的黄河水量调度和管理，适用本条例。</w:t>
      </w:r>
    </w:p>
    <w:p w14:paraId="46C1C0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国家对黄河水量实行统一调度，遵循总量控制、断面流量控制、分级管理、分级负责的原则。</w:t>
      </w:r>
    </w:p>
    <w:p w14:paraId="06BABC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实施黄河水量调度，应当首先满足城乡居民生活用水的需要，合理安排农业、工业、生态环境用水，防止黄河断流。</w:t>
      </w:r>
    </w:p>
    <w:p w14:paraId="1EC3AF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黄河水量调度计划、调度方案和调度指令的执行，实行地方人民政府行政首长负责制和黄河水利委员会及其所属管理机构以及水库主管部门或者单位主要领导负责制。</w:t>
      </w:r>
    </w:p>
    <w:p w14:paraId="607573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国务院水行政主管部门和国务院发展改革主管部门负责组织、协调、监督、指导黄河水量调度工作。</w:t>
      </w:r>
    </w:p>
    <w:p w14:paraId="1246357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黄河水利委员会依照本条例的规定负责黄河水量调度的组织实施和监督检查工作。</w:t>
      </w:r>
    </w:p>
    <w:p w14:paraId="09903B9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有关县级以上地方人民政府水行政主管部门和黄河水利委员会所属管理机构，依照本条例的规定负责所辖范围内黄河水量调度的实施和监督检查工作。</w:t>
      </w:r>
    </w:p>
    <w:p w14:paraId="640EA3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在黄河水量调度工作中做出显著成绩的单位和个人，由有关县级以上人民政府或者有关部门给予奖励。</w:t>
      </w:r>
    </w:p>
    <w:p w14:paraId="48A8C411">
      <w:pPr>
        <w:pStyle w:val="2"/>
        <w:jc w:val="center"/>
        <w:rPr>
          <w:rFonts w:ascii="方正黑体_GBK" w:eastAsia="方正黑体_GBK"/>
        </w:rPr>
      </w:pPr>
      <w:r>
        <w:rPr>
          <w:rFonts w:hint="eastAsia" w:ascii="方正黑体_GBK" w:hAnsi="Times New Roman" w:eastAsia="方正黑体_GBK" w:cs="Times New Roman"/>
        </w:rPr>
        <w:t>第二章　水量分配</w:t>
      </w:r>
    </w:p>
    <w:p w14:paraId="3EE2A5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黄河水量分配方案，由黄河水利委员会商十一省区市人民政府制订，经国务院发展改革主管部门和国务院水行政主管部门审查，报国务院批准。</w:t>
      </w:r>
    </w:p>
    <w:p w14:paraId="6C07A7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国务院批准的黄河水量分配方案，是黄河水量调度的依据，有关地方人民政府和黄河水利委员会及其所属管理机构必须执行。</w:t>
      </w:r>
    </w:p>
    <w:p w14:paraId="1CA059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制订黄河水量分配方案，应当遵循下列原则：</w:t>
      </w:r>
    </w:p>
    <w:p w14:paraId="21FC13A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(一)依据流域规划和水中长期供求规划；</w:t>
      </w:r>
    </w:p>
    <w:p w14:paraId="1F868B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(二)坚持计划用水、节约用水；</w:t>
      </w:r>
    </w:p>
    <w:p w14:paraId="2EF3DC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(三)充分考虑黄河流域水资源条件，取用水现状、供需情况及发展趋势，发挥黄河水资源的综合效益；</w:t>
      </w:r>
    </w:p>
    <w:p w14:paraId="3684BBE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(四)统筹兼顾生活、生产、生态环境用水；</w:t>
      </w:r>
    </w:p>
    <w:p w14:paraId="0C6007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(五)正确处理上下游、左右岸的关系；</w:t>
      </w:r>
    </w:p>
    <w:p w14:paraId="69CECF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(六)科学确定河道输沙入海水量和可供水量。</w:t>
      </w:r>
    </w:p>
    <w:p w14:paraId="43BA63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前款所称可供水量，是指在黄河流域干、支流多年平均天然年径流量中，除必需的河道输沙入海水量外，可供城乡居民生活、农业、工业及河道外生态环境用水的最大水量。</w:t>
      </w:r>
    </w:p>
    <w:p w14:paraId="2104AD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黄河水量分配方案需要调整的，应当由黄河水利委员会商十一省区市人民政府提出方案，经国务院发展改革主管部门和国务院水行政主管部门审查，报国务院批准。</w:t>
      </w:r>
    </w:p>
    <w:p w14:paraId="3C254E19">
      <w:pPr>
        <w:pStyle w:val="2"/>
        <w:jc w:val="center"/>
        <w:rPr>
          <w:rFonts w:ascii="方正黑体_GBK" w:eastAsia="方正黑体_GBK"/>
        </w:rPr>
      </w:pPr>
      <w:r>
        <w:rPr>
          <w:rFonts w:hint="eastAsia" w:ascii="方正黑体_GBK" w:hAnsi="Times New Roman" w:eastAsia="方正黑体_GBK" w:cs="Times New Roman"/>
        </w:rPr>
        <w:t>第三章　水量调度</w:t>
      </w:r>
    </w:p>
    <w:p w14:paraId="52126F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黄河水量调度实行年度水量调度计划与月、旬水量调度方案和实时调度指令相结合的调度方式。</w:t>
      </w:r>
    </w:p>
    <w:p w14:paraId="4DF9C8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黄河水量调度年度为当年7月1日至次年6月30日。</w:t>
      </w:r>
    </w:p>
    <w:p w14:paraId="71056D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黄河干、支流的年度和月用水计划建议与水库运行计划建议，由十一省区市人民政府水行政主管部门和河南、山东黄河河务局以及水库管理单位，按照调度管理权限和规定的时间向黄河水利委员会申报。河南、山东黄河河务局申报黄河干流的用水计划建议时，应当商河南省、山东省人民政府水行政主管部门。</w:t>
      </w:r>
    </w:p>
    <w:p w14:paraId="2CEC1F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年度水量调度计划由黄河水利委员会商十一省区市人民政府水行政主管部门和河南、山东黄河河务局以及水库管理单位制订，报国务院水行政主管部门批准并下达，同时抄送国务院发展改革主管部门。</w:t>
      </w:r>
    </w:p>
    <w:p w14:paraId="619553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经批准的年度水量调度计划，是确定月、旬水量调度方案和年度黄河干、支流用水量控制指标的依据。年度水量调度计划应当纳入本级国民经济和社会发展年度计划。</w:t>
      </w:r>
    </w:p>
    <w:p w14:paraId="545ED7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年度水量调度计划，应当依据经批准的黄河水量分配方案和年度预测来水量、水库蓄水量，按照同比例丰增枯减、多年调节水库蓄丰补枯的原则，在综合平衡申报的年度用水计划建议和水库运行计划建议的基础上制订。</w:t>
      </w:r>
    </w:p>
    <w:p w14:paraId="2597D9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黄河水利委员会应当根据经批准的年度水量调度计划和申报的月用水计划建议、水库运行计划建议，制订并下达月水量调度方案；用水高峰时，应当根据需要制订并下达旬水量调度方案。</w:t>
      </w:r>
    </w:p>
    <w:p w14:paraId="6E095D6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黄河水利委员会根据实时水情、雨情、旱情、墒情、水库蓄水量及用水情况，可以对已下达的月、旬水量调度方案作出调整，下达实时调度指令。</w:t>
      </w:r>
    </w:p>
    <w:p w14:paraId="757013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青海省、四川省、甘肃省、宁夏回族自治区、内蒙古自治区、陕西省、山西省境内黄河干、支流的水量，分别由各省级人民政府水行政主管部门负责调度；河南省、山东省境内黄河干流的水量，分别由河南、山东黄河河务局负责调度，支流的水量，分别由河南省、山东省人民政府水行政主管部门负责调度；调入河北省、天津市的黄河水量，分别由河北省、天津市人民政府水行政主管部门负责调度。</w:t>
      </w:r>
    </w:p>
    <w:p w14:paraId="0C331C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市、县级人民政府水行政主管部门和黄河水利委员会所属管理机构，负责所辖范围内分配水量的调度。</w:t>
      </w:r>
    </w:p>
    <w:p w14:paraId="00D7AB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实施黄河水量调度，必须遵守经批准的年度水量调度计划和下达的月、旬水量调度方案以及实时调度指令。</w:t>
      </w:r>
    </w:p>
    <w:p w14:paraId="6F53B9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龙羊峡、刘家峡、万家寨、三门峡、小浪底、西霞院、故县、东平湖等水库，由黄河水利委员会组织实施水量调度，下达月、旬水量调度方案及实时调度指令；必要时，黄河水利委员会可以对大峡、沙坡头、青铜峡、三盛公、陆浑等水库组织实施水量调度，下达实时调度指令。</w:t>
      </w:r>
    </w:p>
    <w:p w14:paraId="4A5936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水库主管部门或者单位具体负责实施所辖水库的水量调度，并按照水量调度指令做好发电计划的安排。</w:t>
      </w:r>
    </w:p>
    <w:p w14:paraId="306B4D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黄河水量调度实行水文断面流量控制。黄河干流水文断面的流量控制指标，由黄河水利委员会规定；重要支流水文断面及其流量控制指标，由黄河水利委员会会同黄河流域有关省、自治区人民政府水行政主管部门规定。</w:t>
      </w:r>
    </w:p>
    <w:p w14:paraId="4B15FA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青海省、甘肃省、宁夏回族自治区、内蒙古自治区、河南省、山东省人民政府，分别负责并确保循化、下河沿、石嘴山、头道拐、高村、利津水文断面的下泄流量符合规定的控制指标；陕西省和山西省人民政府共同负责并确保潼关水文断面的下泄流量符合规定的控制指标。</w:t>
      </w:r>
    </w:p>
    <w:p w14:paraId="63A820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龙羊峡、刘家峡、万家寨、三门峡、小浪底水库的主管部门或者单位，分别负责并确保贵德、小川、万家寨、三门峡、小浪底水文断面的出库流量符合规定的控制指标。</w:t>
      </w:r>
    </w:p>
    <w:p w14:paraId="0E7C00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黄河干、支流省际或者重要控制断面和出库流量控制断面的下泄流量以国家设立的水文站监测数据为依据。对水文监测数据有争议的，以黄河水利委员会确认的水文监测数据为准。</w:t>
      </w:r>
    </w:p>
    <w:p w14:paraId="2B8AA7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需要在年度水量调度计划外使用其他省、自治区、直辖市计划内水量分配指标的，应当向黄河水利委员会提出申请，由黄河水利委员会组织有关各方在协商一致的基础上提出方案，报国务院水行政主管部门批准后组织实施。</w:t>
      </w:r>
    </w:p>
    <w:p w14:paraId="0EE6B98A">
      <w:pPr>
        <w:pStyle w:val="2"/>
        <w:jc w:val="center"/>
        <w:rPr>
          <w:rFonts w:ascii="方正黑体_GBK" w:eastAsia="方正黑体_GBK"/>
        </w:rPr>
      </w:pPr>
      <w:r>
        <w:rPr>
          <w:rFonts w:hint="eastAsia" w:ascii="方正黑体_GBK" w:hAnsi="Times New Roman" w:eastAsia="方正黑体_GBK" w:cs="Times New Roman"/>
        </w:rPr>
        <w:t>第四章　应急调度</w:t>
      </w:r>
    </w:p>
    <w:p w14:paraId="133E5E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出现严重干旱、省际或者重要控制断面流量降至预警流量、水库运行故障、重大水污染事故等情况，可能造成供水危机、黄河断流时，黄河水利委员会应当组织实施应急调度。</w:t>
      </w:r>
    </w:p>
    <w:p w14:paraId="0F0E82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黄河水利委员会应当商十一省区市人民政府以及水库主管部门或者单位，制订旱情紧急情况下的水量调度预案，经国务院水行政主管部门审查，报国务院或者国务院授权的部门批准。</w:t>
      </w:r>
    </w:p>
    <w:p w14:paraId="2EFBAC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十一省区市人民政府水行政主管部门和河南、山东黄河河务局以及水库管理单位，应当根据经批准的旱情紧急情况下的水量调度预案，制订实施方案，并抄送黄河水利委员会。</w:t>
      </w:r>
    </w:p>
    <w:p w14:paraId="1CD42FA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出现旱情紧急情况时，经国务院水行政主管部门同意，由黄河水利委员会组织实施旱情紧急情况下的水量调度预案，并及时调整取水及水库出库流量控制指标；必要时，可以对黄河流域有关省、自治区主要取水口实行直接调度。</w:t>
      </w:r>
    </w:p>
    <w:p w14:paraId="145420F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县级以上地方人民政府、水库管理单位应当按照旱情紧急情况下的水量调度预案及其实施方案，合理安排用水计划，确保省际或者重要控制断面和出库流量控制断面的下泄流量符合规定的控制指标。</w:t>
      </w:r>
    </w:p>
    <w:p w14:paraId="779013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出现旱情紧急情况时，十一省区市人民政府水行政主管部门和河南、山东黄河河务局以及水库管理单位，应当每日向黄河水利委员会报送取(退)水及水库蓄(泄)水情况。</w:t>
      </w:r>
    </w:p>
    <w:p w14:paraId="7004BC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出现省际或者重要控制断面流量降至预警流量、水库运行故障以及重大水污染事故等情况时，黄河水利委员会及其所属管理机构、有关省级人民政府及其水行政主管部门和环境保护主管部门以及水库管理单位，应当根据需要，按照规定的权限和职责，及时采取压减取水量直至关闭取水口、实施水库应急泄流方案、加强水文监测、对排污企业实行限产或者停产等处置措施，有关部门和单位必须服从。</w:t>
      </w:r>
    </w:p>
    <w:p w14:paraId="1A7CDB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省际或者重要控制断面的预警流量，由黄河水利委员会确定。</w:t>
      </w:r>
    </w:p>
    <w:p w14:paraId="786FBC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实施应急调度，需要动用水库死库容的，由黄河水利委员会商有关水库主管部门或者单位，制订动用水库死库容的水量调度方案，经国务院水行政主管部门审查，报国务院或者国务院授权的部门批准实施。</w:t>
      </w:r>
    </w:p>
    <w:p w14:paraId="30F92F56">
      <w:pPr>
        <w:pStyle w:val="2"/>
        <w:jc w:val="center"/>
        <w:rPr>
          <w:rFonts w:ascii="方正黑体_GBK" w:eastAsia="方正黑体_GBK"/>
        </w:rPr>
      </w:pPr>
      <w:r>
        <w:rPr>
          <w:rFonts w:hint="eastAsia" w:ascii="方正黑体_GBK" w:hAnsi="Times New Roman" w:eastAsia="方正黑体_GBK" w:cs="Times New Roman"/>
        </w:rPr>
        <w:t>第五章　监督管理</w:t>
      </w:r>
    </w:p>
    <w:p w14:paraId="1275FC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黄河水利委员会及其所属管理机构和县级以上地方人民政府水行政主管部门应当加强对所辖范围内水量调度执行情况的监督检查。</w:t>
      </w:r>
    </w:p>
    <w:p w14:paraId="15946D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十一省区市人民政府水行政主管部门和河南、山东黄河河务局，应当按照国务院水行政主管部门规定的时间，向黄河水利委员会报送所辖范围内取(退)水量报表。</w:t>
      </w:r>
    </w:p>
    <w:p w14:paraId="66878EE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黄河水量调度文书格式，由黄河水利委员会编制、公布，并报国务院水行政主管部门备案。</w:t>
      </w:r>
    </w:p>
    <w:p w14:paraId="2FCC04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黄河水利委员会应当定期将黄河水量调度执行情况向十一省区市人民政府水行政主管部门以及水库主管部门或者单位通报，并及时向社会公告。</w:t>
      </w:r>
    </w:p>
    <w:p w14:paraId="5B82E44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黄河水利委员会及其所属管理机构、县级以上地方人民政府水行政主管部门，应当在各自的职责范围内实施巡回监督检查，在用水高峰时对主要取(退)水口实施重点监督检查，在特殊情况下对有关河段、水库、主要取(退)水口进行驻守监督检查；发现重点污染物排放总量超过控制指标或者水体严重污染时，应当及时通报有关人民政府环境保护主管部门。</w:t>
      </w:r>
    </w:p>
    <w:p w14:paraId="612875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黄河水利委员会及其所属管理机构、县级以上地方人民政府水行政主管部门实施监督检查时，有权采取下列措施：</w:t>
      </w:r>
    </w:p>
    <w:p w14:paraId="1834FC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(一)要求被检查单位提供有关文件和资料，进行查阅或者复制；</w:t>
      </w:r>
    </w:p>
    <w:p w14:paraId="2662D0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(二)要求被检查单位就执行本条例的有关问题进行说明；</w:t>
      </w:r>
    </w:p>
    <w:p w14:paraId="49D7A7F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(三)进入被检查单位生产场所进行现场检查；</w:t>
      </w:r>
    </w:p>
    <w:p w14:paraId="2D7C21B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(四)对取(退)水量进行现场监测；</w:t>
      </w:r>
    </w:p>
    <w:p w14:paraId="3FBCE2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(五)责令被检查单位纠正违反本条例的行为。</w:t>
      </w:r>
    </w:p>
    <w:p w14:paraId="32D8DD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监督检查人员在履行监督检查职责时，应当向被检查单位或者个人出示执法证件，被检查单位或者个人应当接受和配合监督检查工作，不得拒绝或者妨碍监督检查人员依法执行公务。</w:t>
      </w:r>
    </w:p>
    <w:p w14:paraId="118B2E7B">
      <w:pPr>
        <w:pStyle w:val="2"/>
        <w:jc w:val="center"/>
        <w:rPr>
          <w:rFonts w:ascii="方正黑体_GBK" w:eastAsia="方正黑体_GBK"/>
        </w:rPr>
      </w:pPr>
      <w:r>
        <w:rPr>
          <w:rFonts w:hint="eastAsia" w:ascii="方正黑体_GBK" w:hAnsi="Times New Roman" w:eastAsia="方正黑体_GBK" w:cs="Times New Roman"/>
        </w:rPr>
        <w:t>第六章　法律责任</w:t>
      </w:r>
    </w:p>
    <w:p w14:paraId="5B2A34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违反本条例规定，有下列行为之一的，对负有责任的主管人员和其他直接责任人员，由其上级主管部门、单位或者监察机关依法给予处分：</w:t>
      </w:r>
    </w:p>
    <w:p w14:paraId="5CB01D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(一)不制订年度水量调度计划的；</w:t>
      </w:r>
    </w:p>
    <w:p w14:paraId="41340F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(二)不及时下达月、旬水量调度方案的；</w:t>
      </w:r>
    </w:p>
    <w:p w14:paraId="2A2D89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(三)不制订旱情紧急情况下的水量调度预案及其实施方案和动用水库死库容水量调度方案的。</w:t>
      </w:r>
    </w:p>
    <w:p w14:paraId="7D41EC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违反本条例规定，有下列行为之一的，对负有责任的主管人员和其他直接责任人员，由其上级主管部门、单位或者监察机关依法给予处分；造成严重后果，构成犯罪的，依法追究刑事责任：</w:t>
      </w:r>
    </w:p>
    <w:p w14:paraId="227102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(一)不执行年度水量调度计划和下达的月、旬水量调度方案以及实时调度指令的；</w:t>
      </w:r>
    </w:p>
    <w:p w14:paraId="0CE54D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(二)不执行旱情紧急情况下的水量调度预案及其实施方案、水量调度应急处置措施和动用水库死库容水量调度方案的；</w:t>
      </w:r>
    </w:p>
    <w:p w14:paraId="49962A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(三)不履行监督检查职责或者发现违法行为不予查处的；</w:t>
      </w:r>
    </w:p>
    <w:p w14:paraId="29BD15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(四)其他滥用职权、玩忽职守等违法行为。</w:t>
      </w:r>
    </w:p>
    <w:p w14:paraId="6F1C24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省际或者重要控制断面下泄流量不符合规定的控制指标的，由黄河水利委员会予以通报，责令限期改正；逾期不改正的，按照控制断面下泄流量的缺水量，在下一调度时段加倍扣除；对控制断面下游水量调度产生严重影响或者造成其他严重后果的，本年度不再新增该省、自治区的取水工程项目。对负有责任的主管人员和其他直接责任人员，由其上级主管部门、单位或者监察机关依法给予处分。</w:t>
      </w:r>
    </w:p>
    <w:p w14:paraId="484D06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水库出库流量控制断面的下泄流量不符合规定的控制指标，对控制断面下游水量调度产生严重影响的，对负有责任的主管人员和其他直接责任人员，由其上级主管部门、单位或者监察机关依法给予处分。</w:t>
      </w:r>
    </w:p>
    <w:p w14:paraId="323505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有关用水单位或者水库管理单位有下列行为之一的，由县级以上地方人民政府水行政主管部门或者黄河水利委员会及其所属管理机构按照管理权限，责令停止违法行为，给予警告，限期采取补救措施，并处2万元以上10万元以下罚款；对负有责任的主管人员和其他直接责任人员，由其上级主管部门、单位或者监察机关依法给予处分：</w:t>
      </w:r>
    </w:p>
    <w:p w14:paraId="1D5C2A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(一)虚假填报或者篡改上报的水文监测数据、取用水量数据或者水库运行情况等资料的；</w:t>
      </w:r>
    </w:p>
    <w:p w14:paraId="04B867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(二)水库管理单位不执行水量调度方案和实时调度指令的；</w:t>
      </w:r>
    </w:p>
    <w:p w14:paraId="51E75D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(三)超计划取用水的。</w:t>
      </w:r>
    </w:p>
    <w:p w14:paraId="510EFD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违反本条例规定，有下列行为之一的，由公安机关依法给予治安管理处罚；构成犯罪的，依法追究刑事责任：</w:t>
      </w:r>
    </w:p>
    <w:p w14:paraId="1E060E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(一)妨碍、阻挠监督检查人员或者取用水工程管理人员依法执行公务的；</w:t>
      </w:r>
    </w:p>
    <w:p w14:paraId="1CD14B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(二)在水量调度中煽动群众闹事的。</w:t>
      </w:r>
    </w:p>
    <w:p w14:paraId="4715E23F">
      <w:pPr>
        <w:pStyle w:val="2"/>
        <w:jc w:val="center"/>
        <w:rPr>
          <w:rFonts w:ascii="方正黑体_GBK" w:eastAsia="方正黑体_GBK"/>
        </w:rPr>
      </w:pPr>
      <w:r>
        <w:rPr>
          <w:rFonts w:hint="eastAsia" w:ascii="方正黑体_GBK" w:hAnsi="Times New Roman" w:eastAsia="方正黑体_GBK" w:cs="Times New Roman"/>
        </w:rPr>
        <w:t>第七章　附则</w:t>
      </w:r>
    </w:p>
    <w:p w14:paraId="606080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黄河水量调度中，有关用水计划建议和水库运行计划建议申报时间，年度水量调度计划制订、下达时间，月、旬水量调度方案下达时间，取(退)水水量报表报送时间等，由国务院水行政主管部门规定。</w:t>
      </w:r>
    </w:p>
    <w:p w14:paraId="731B89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在黄河水量调度中涉及水资源保护、防洪、防凌和水污染防治的，依照《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防洪法》和《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水污染防治法》的有关规定执行。</w:t>
      </w:r>
    </w:p>
    <w:p w14:paraId="2F0EC10E">
      <w:pPr>
        <w:ind w:firstLine="640" w:firstLineChars="200"/>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87B57">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CFEB76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816795D"/>
    <w:rsid w:val="002B7649"/>
    <w:rsid w:val="00534060"/>
    <w:rsid w:val="0074287C"/>
    <w:rsid w:val="037C36EB"/>
    <w:rsid w:val="0E7254E3"/>
    <w:rsid w:val="0EFE4D94"/>
    <w:rsid w:val="186F7BC4"/>
    <w:rsid w:val="2CC457CE"/>
    <w:rsid w:val="5F863B54"/>
    <w:rsid w:val="6D2F53D2"/>
    <w:rsid w:val="6E0600A4"/>
    <w:rsid w:val="78167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824</Words>
  <Characters>4700</Characters>
  <Lines>39</Lines>
  <Paragraphs>11</Paragraphs>
  <TotalTime>0</TotalTime>
  <ScaleCrop>false</ScaleCrop>
  <LinksUpToDate>false</LinksUpToDate>
  <CharactersWithSpaces>5513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拱酝爻涣和</cp:lastModifiedBy>
  <dcterms:modified xsi:type="dcterms:W3CDTF">2025-06-29T10:56:13Z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5AD4346629BE44C5943AEFE852F38C3B_12</vt:lpwstr>
  </property>
</Properties>
</file>